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515C" w14:textId="77777777" w:rsidR="00AF4C6F" w:rsidRDefault="00BE216B">
      <w:pPr>
        <w:pBdr>
          <w:bottom w:val="single" w:sz="4" w:space="1" w:color="auto"/>
        </w:pBdr>
        <w:jc w:val="center"/>
        <w:rPr>
          <w:rFonts w:ascii="Times New Roman" w:hAnsi="Times New Roman" w:cs="Times New Roman"/>
          <w:b/>
          <w:bCs/>
          <w:sz w:val="20"/>
          <w:szCs w:val="20"/>
        </w:rPr>
      </w:pPr>
      <w:r>
        <w:rPr>
          <w:rFonts w:ascii="Times New Roman" w:hAnsi="Times New Roman" w:cs="Times New Roman"/>
          <w:b/>
          <w:bCs/>
          <w:sz w:val="20"/>
          <w:szCs w:val="20"/>
        </w:rPr>
        <w:t>WEBSITE DISCLAIMER FOR DRHP AND THE IPO AVO</w:t>
      </w:r>
    </w:p>
    <w:p w14:paraId="605BF596" w14:textId="77777777" w:rsidR="00AF4C6F" w:rsidRDefault="00BE216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i/>
          <w:iCs/>
          <w:sz w:val="20"/>
          <w:szCs w:val="20"/>
        </w:rPr>
      </w:pPr>
      <w:r>
        <w:rPr>
          <w:rFonts w:ascii="Times New Roman" w:hAnsi="Times New Roman" w:cs="Times New Roman"/>
          <w:b/>
          <w:bCs/>
          <w:i/>
          <w:iCs/>
          <w:sz w:val="20"/>
          <w:szCs w:val="20"/>
        </w:rPr>
        <w:t>FIRST PAGE</w:t>
      </w:r>
    </w:p>
    <w:p w14:paraId="42E95A0D" w14:textId="77777777" w:rsidR="00AF4C6F" w:rsidRDefault="00BE216B">
      <w:pPr>
        <w:jc w:val="both"/>
        <w:rPr>
          <w:rFonts w:ascii="Times New Roman" w:hAnsi="Times New Roman" w:cs="Times New Roman"/>
          <w:b/>
          <w:bCs/>
          <w:sz w:val="20"/>
          <w:szCs w:val="20"/>
        </w:rPr>
      </w:pPr>
      <w:r>
        <w:rPr>
          <w:rFonts w:ascii="Times New Roman" w:hAnsi="Times New Roman" w:cs="Times New Roman"/>
          <w:b/>
          <w:bCs/>
          <w:sz w:val="20"/>
          <w:szCs w:val="20"/>
        </w:rPr>
        <w:t xml:space="preserve">NOT FOR ACCESS IN OR BY, OR DISTRIBUTION OR TRANSMISSION IN, INTO OR TO, DIRECTLY OR INDIRECTLY, THE UNITED STATES OF AMERICA (INCLUDING ITS TERRITORIES AND POSSESSIONS), ANY </w:t>
      </w:r>
      <w:r>
        <w:rPr>
          <w:rFonts w:ascii="Times New Roman" w:hAnsi="Times New Roman" w:cs="Times New Roman"/>
          <w:b/>
          <w:bCs/>
          <w:sz w:val="20"/>
          <w:szCs w:val="20"/>
        </w:rPr>
        <w:t>STATE OF THE UNITED STATES AND THE DISTRICT OF COLUMBIA (THE “UNITED STATES”) OR ANY JURISDICTION WHERE IT IS UNLAWFUL TO DO SO.</w:t>
      </w:r>
    </w:p>
    <w:p w14:paraId="0D308768" w14:textId="77777777" w:rsidR="00AF4C6F" w:rsidRDefault="00BE216B">
      <w:pPr>
        <w:jc w:val="both"/>
        <w:rPr>
          <w:rFonts w:ascii="Times New Roman" w:hAnsi="Times New Roman" w:cs="Times New Roman"/>
          <w:b/>
          <w:bCs/>
          <w:sz w:val="20"/>
          <w:szCs w:val="20"/>
        </w:rPr>
      </w:pPr>
      <w:r>
        <w:rPr>
          <w:rFonts w:ascii="Times New Roman" w:hAnsi="Times New Roman" w:cs="Times New Roman"/>
          <w:b/>
          <w:bCs/>
          <w:sz w:val="20"/>
          <w:szCs w:val="20"/>
        </w:rPr>
        <w:t>THESE MATERIALS ARE NOT DIRECTED AT OR INTENDED TO BE ACCESSED BY PERSONS LOCATED OUTSIDE INDIA.</w:t>
      </w:r>
    </w:p>
    <w:p w14:paraId="19C75CBA" w14:textId="77777777" w:rsidR="00AF4C6F" w:rsidRDefault="00BE216B">
      <w:pPr>
        <w:jc w:val="both"/>
        <w:rPr>
          <w:rFonts w:ascii="Times New Roman" w:hAnsi="Times New Roman" w:cs="Times New Roman"/>
          <w:b/>
          <w:bCs/>
          <w:sz w:val="20"/>
          <w:szCs w:val="20"/>
        </w:rPr>
      </w:pPr>
      <w:r>
        <w:rPr>
          <w:rFonts w:ascii="Times New Roman" w:hAnsi="Times New Roman" w:cs="Times New Roman"/>
          <w:b/>
          <w:bCs/>
          <w:sz w:val="20"/>
          <w:szCs w:val="20"/>
        </w:rPr>
        <w:t xml:space="preserve">IMPORTANT: </w:t>
      </w:r>
      <w:r>
        <w:rPr>
          <w:rFonts w:ascii="Times New Roman" w:hAnsi="Times New Roman" w:cs="Times New Roman"/>
          <w:sz w:val="20"/>
          <w:szCs w:val="20"/>
        </w:rPr>
        <w:t xml:space="preserve">You must read and agree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the terms and conditions of the following disclaimer before continuing.</w:t>
      </w:r>
    </w:p>
    <w:p w14:paraId="103D0B0A" w14:textId="260680E0" w:rsidR="00AF4C6F" w:rsidRDefault="00BE216B">
      <w:pPr>
        <w:jc w:val="both"/>
        <w:rPr>
          <w:rFonts w:ascii="Times New Roman" w:hAnsi="Times New Roman" w:cs="Times New Roman"/>
          <w:sz w:val="20"/>
          <w:szCs w:val="20"/>
        </w:rPr>
      </w:pPr>
      <w:r>
        <w:rPr>
          <w:rFonts w:ascii="Times New Roman" w:hAnsi="Times New Roman" w:cs="Times New Roman"/>
          <w:sz w:val="20"/>
          <w:szCs w:val="20"/>
        </w:rPr>
        <w:t>The following disclaimer applies to the draft red herring prospectus of Anand Rathi Share and Stock Brokers Limited (the “</w:t>
      </w:r>
      <w:r>
        <w:rPr>
          <w:rFonts w:ascii="Times New Roman" w:hAnsi="Times New Roman" w:cs="Times New Roman"/>
          <w:b/>
          <w:bCs/>
          <w:sz w:val="20"/>
          <w:szCs w:val="20"/>
        </w:rPr>
        <w:t>Company</w:t>
      </w:r>
      <w:r>
        <w:rPr>
          <w:rFonts w:ascii="Times New Roman" w:hAnsi="Times New Roman" w:cs="Times New Roman"/>
          <w:sz w:val="20"/>
          <w:szCs w:val="20"/>
        </w:rPr>
        <w:t>”) dated December 14</w:t>
      </w:r>
      <w:r>
        <w:rPr>
          <w:rFonts w:ascii="Times New Roman" w:hAnsi="Times New Roman" w:cs="Times New Roman"/>
          <w:sz w:val="20"/>
          <w:szCs w:val="20"/>
        </w:rPr>
        <w:t>, 2024 (the “</w:t>
      </w:r>
      <w:r>
        <w:rPr>
          <w:rFonts w:ascii="Times New Roman" w:hAnsi="Times New Roman" w:cs="Times New Roman"/>
          <w:b/>
          <w:bCs/>
          <w:sz w:val="20"/>
          <w:szCs w:val="20"/>
        </w:rPr>
        <w:t>Draft Red Herring Prospectus</w:t>
      </w:r>
      <w:r>
        <w:rPr>
          <w:rFonts w:ascii="Times New Roman" w:hAnsi="Times New Roman" w:cs="Times New Roman"/>
          <w:sz w:val="20"/>
          <w:szCs w:val="20"/>
        </w:rPr>
        <w:t>”) filed with the Securities and Exchange Board of India ("</w:t>
      </w:r>
      <w:r>
        <w:rPr>
          <w:rFonts w:ascii="Times New Roman" w:hAnsi="Times New Roman" w:cs="Times New Roman"/>
          <w:b/>
          <w:bCs/>
          <w:sz w:val="20"/>
          <w:szCs w:val="20"/>
        </w:rPr>
        <w:t>SEBI</w:t>
      </w:r>
      <w:r>
        <w:rPr>
          <w:rFonts w:ascii="Times New Roman" w:hAnsi="Times New Roman" w:cs="Times New Roman"/>
          <w:sz w:val="20"/>
          <w:szCs w:val="20"/>
        </w:rPr>
        <w:t>"), BSE Limited and National Stock Exchange of India Limited (together, the “</w:t>
      </w:r>
      <w:r>
        <w:rPr>
          <w:rFonts w:ascii="Times New Roman" w:hAnsi="Times New Roman" w:cs="Times New Roman"/>
          <w:b/>
          <w:bCs/>
          <w:sz w:val="20"/>
          <w:szCs w:val="20"/>
        </w:rPr>
        <w:t>Stock Exchanges</w:t>
      </w:r>
      <w:r>
        <w:rPr>
          <w:rFonts w:ascii="Times New Roman" w:hAnsi="Times New Roman" w:cs="Times New Roman"/>
          <w:sz w:val="20"/>
          <w:szCs w:val="20"/>
        </w:rPr>
        <w:t>”), as well as the audio visual film of the Company dated December 19</w:t>
      </w:r>
      <w:r>
        <w:rPr>
          <w:rFonts w:ascii="Times New Roman" w:hAnsi="Times New Roman" w:cs="Times New Roman"/>
          <w:sz w:val="20"/>
          <w:szCs w:val="20"/>
        </w:rPr>
        <w:t>, 2024 (the “</w:t>
      </w:r>
      <w:r>
        <w:rPr>
          <w:rFonts w:ascii="Times New Roman" w:hAnsi="Times New Roman" w:cs="Times New Roman"/>
          <w:b/>
          <w:bCs/>
          <w:sz w:val="20"/>
          <w:szCs w:val="20"/>
        </w:rPr>
        <w:t>IPO AV</w:t>
      </w:r>
      <w:r>
        <w:rPr>
          <w:rFonts w:ascii="Times New Roman" w:hAnsi="Times New Roman" w:cs="Times New Roman"/>
          <w:sz w:val="20"/>
          <w:szCs w:val="20"/>
        </w:rPr>
        <w:t>”), in relation to the proposed initial public offering of the equity shares of face value of ₹5 each (“</w:t>
      </w:r>
      <w:r>
        <w:rPr>
          <w:rFonts w:ascii="Times New Roman" w:hAnsi="Times New Roman" w:cs="Times New Roman"/>
          <w:b/>
          <w:bCs/>
          <w:sz w:val="20"/>
          <w:szCs w:val="20"/>
        </w:rPr>
        <w:t>Equity Shares</w:t>
      </w:r>
      <w:r>
        <w:rPr>
          <w:rFonts w:ascii="Times New Roman" w:hAnsi="Times New Roman" w:cs="Times New Roman"/>
          <w:sz w:val="20"/>
          <w:szCs w:val="20"/>
        </w:rPr>
        <w:t>”) of the Company (“</w:t>
      </w:r>
      <w:r>
        <w:rPr>
          <w:rFonts w:ascii="Times New Roman" w:hAnsi="Times New Roman" w:cs="Times New Roman"/>
          <w:b/>
          <w:bCs/>
          <w:sz w:val="20"/>
          <w:szCs w:val="20"/>
        </w:rPr>
        <w:t>Offer</w:t>
      </w:r>
      <w:r>
        <w:rPr>
          <w:rFonts w:ascii="Times New Roman" w:hAnsi="Times New Roman" w:cs="Times New Roman"/>
          <w:sz w:val="20"/>
          <w:szCs w:val="20"/>
        </w:rPr>
        <w:t xml:space="preserve">”). </w:t>
      </w:r>
    </w:p>
    <w:p w14:paraId="10DD2C58" w14:textId="77777777" w:rsidR="00AF4C6F" w:rsidRDefault="00BE216B">
      <w:pPr>
        <w:jc w:val="both"/>
        <w:rPr>
          <w:rFonts w:ascii="Times New Roman" w:hAnsi="Times New Roman" w:cs="Times New Roman"/>
          <w:b/>
          <w:bCs/>
          <w:sz w:val="20"/>
          <w:szCs w:val="20"/>
        </w:rPr>
      </w:pPr>
      <w:r>
        <w:rPr>
          <w:rFonts w:ascii="Times New Roman" w:hAnsi="Times New Roman" w:cs="Times New Roman"/>
          <w:b/>
          <w:bCs/>
          <w:sz w:val="20"/>
          <w:szCs w:val="20"/>
        </w:rPr>
        <w:t xml:space="preserve">THE DRAFT RED HERRING PROSPECTUS IS BEING MADE AVAILABLE ON THIS WEBSITE IN ELECTRONIC FORM SOLELY TO COMPLY WITH THE SECURITIES AND EXCHANGE BOARD OF INDIA (ISSUE OF CAPITAL AND DISCLOSURE REQUIREMENTS) REGULATIONS, 2018, AS AMENDED (“SEBI ICDR REGULATIONS”). </w:t>
      </w:r>
    </w:p>
    <w:p w14:paraId="0FFAD7CE" w14:textId="77777777" w:rsidR="00AF4C6F" w:rsidRDefault="00BE216B">
      <w:pPr>
        <w:jc w:val="both"/>
        <w:rPr>
          <w:rFonts w:ascii="Times New Roman" w:hAnsi="Times New Roman" w:cs="Times New Roman"/>
          <w:b/>
          <w:bCs/>
          <w:sz w:val="20"/>
          <w:szCs w:val="20"/>
        </w:rPr>
      </w:pPr>
      <w:r>
        <w:rPr>
          <w:rFonts w:ascii="Times New Roman" w:hAnsi="Times New Roman" w:cs="Times New Roman"/>
          <w:b/>
          <w:bCs/>
          <w:sz w:val="20"/>
          <w:szCs w:val="20"/>
        </w:rPr>
        <w:t>THE IPO AV IS BEING MADE AVAILABLE ON THIS WEBSITE IN ACCORDANCE WITH CIRCULAR ON “AUDIOVISUAL (AV) PRESENTATION OF DISCLOSURES MADE IN PUBLIC ISSUE OFFER DOCUMENTS” DATED MAY 24, 2024, ISSUED BY THE SECURITIES AND EXCHANGE BOARD OF INDIA. </w:t>
      </w:r>
    </w:p>
    <w:p w14:paraId="2535B747" w14:textId="77777777" w:rsidR="00AF4C6F" w:rsidRDefault="00BE216B">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You are advised to read this disclaimer carefully before reading, accessing or making any other use of the DRHP and the IPO AV. </w:t>
      </w:r>
      <w:r>
        <w:rPr>
          <w:rFonts w:ascii="Times New Roman" w:hAnsi="Times New Roman" w:cs="Times New Roman"/>
          <w:sz w:val="20"/>
          <w:szCs w:val="20"/>
          <w:lang w:val="en-IN"/>
        </w:rPr>
        <w:t xml:space="preserve">In accessing the Draft Red Herring Prospectus and/or the IPO AV, you agree to be bound by the following terms and conditions, including any modifications to them from time to time. </w:t>
      </w:r>
    </w:p>
    <w:p w14:paraId="18C4F689" w14:textId="77777777" w:rsidR="00AF4C6F" w:rsidRDefault="00BE216B">
      <w:pPr>
        <w:jc w:val="both"/>
        <w:rPr>
          <w:rFonts w:ascii="Times New Roman" w:hAnsi="Times New Roman" w:cs="Times New Roman"/>
          <w:sz w:val="20"/>
          <w:szCs w:val="20"/>
          <w:lang w:val="en-IN"/>
        </w:rPr>
      </w:pPr>
      <w:r>
        <w:rPr>
          <w:rFonts w:ascii="Times New Roman" w:hAnsi="Times New Roman" w:cs="Times New Roman"/>
          <w:sz w:val="20"/>
          <w:szCs w:val="20"/>
          <w:lang w:val="en-IN"/>
        </w:rPr>
        <w:t>Each of the Draft Red Herring Prospectus and the IPO AV is directed at, and is intended for distribution to, and use by, residents of India only. No part of the contents of the Draft Red Herring Prospectus and the IPO AV shall be copied or duplicated in any form by any means or redistributed.</w:t>
      </w:r>
    </w:p>
    <w:p w14:paraId="5732B425" w14:textId="77777777" w:rsidR="00AF4C6F" w:rsidRDefault="00BE216B">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t>The Draft Red Herring Prospectus and the IPO AV are for information purposes only and do not constitute, and should not be construed as, directly or indirectly, an offer or invitation to sell or the solicitation of an offer or invitation to purchase any Equity Shares in any jurisdiction. Any such offer or solicitation, if made, would only be made pursuant to the Red Herring Prospectus (“RHP”) which may be filed with the relevant Registrar of Companies in the future (if you are in India) or the RHP and the p</w:t>
      </w:r>
      <w:r>
        <w:rPr>
          <w:rFonts w:ascii="Times New Roman" w:hAnsi="Times New Roman" w:cs="Times New Roman"/>
          <w:sz w:val="20"/>
          <w:szCs w:val="20"/>
          <w:lang w:val="en-IN"/>
        </w:rPr>
        <w:t>reliminary international wrap (if you are outside India), together with any supplementary pricing information. Potential investors should not rely on the DRHP in making any investment decision.</w:t>
      </w:r>
    </w:p>
    <w:p w14:paraId="4F35C921" w14:textId="77777777" w:rsidR="00AF4C6F" w:rsidRDefault="00AF4C6F">
      <w:pPr>
        <w:spacing w:after="0"/>
        <w:jc w:val="both"/>
        <w:rPr>
          <w:rFonts w:ascii="Times New Roman" w:hAnsi="Times New Roman" w:cs="Times New Roman"/>
          <w:sz w:val="20"/>
          <w:szCs w:val="20"/>
          <w:lang w:val="en-IN"/>
        </w:rPr>
      </w:pPr>
    </w:p>
    <w:p w14:paraId="5D71E116" w14:textId="77777777" w:rsidR="00AF4C6F" w:rsidRDefault="00BE216B">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t>Potential investors should note that investment in the Equity Shares involves a high degree of risk and for details relating to such risks, please refer to the RHP (when available), including the section titled “Risk Factors”, and for potential investors outside India, the preliminary international wrap (when available), including the section titled “Additional Risk Factors for International Investors”.</w:t>
      </w:r>
    </w:p>
    <w:p w14:paraId="74D4EA9F" w14:textId="77777777" w:rsidR="00AF4C6F" w:rsidRDefault="00AF4C6F">
      <w:pPr>
        <w:spacing w:after="0"/>
        <w:jc w:val="both"/>
        <w:rPr>
          <w:rFonts w:ascii="Times New Roman" w:hAnsi="Times New Roman" w:cs="Times New Roman"/>
          <w:sz w:val="20"/>
          <w:szCs w:val="20"/>
          <w:lang w:val="en-IN"/>
        </w:rPr>
      </w:pPr>
    </w:p>
    <w:p w14:paraId="2739C99A" w14:textId="77777777" w:rsidR="00AF4C6F" w:rsidRDefault="00BE216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The Equity Shares to be offered in the Offer have not been and will not be registered, listed or otherwise qualified in any jurisdiction except India and may not be offered or sold to persons outside of India except in compliance with the applicable laws of each such jurisdiction. In particular, the Equity Shares to be offered in the Offer have not been and will not be registered under the U.S. Securities Act or the securities laws of any state of the United States and may not be offered or sold within the </w:t>
      </w:r>
      <w:r>
        <w:rPr>
          <w:rFonts w:ascii="Times New Roman" w:hAnsi="Times New Roman" w:cs="Times New Roman"/>
          <w:sz w:val="20"/>
          <w:szCs w:val="20"/>
        </w:rPr>
        <w:t xml:space="preserve">United States, except pursuant to an exemption from, or in a transaction not subject to, the registration requirements of the U.S. Securities Act and applicable state securities laws. The Equity Shares to be offered in the Offer will be offered and sold only outside the United States in “offshore transactions” as defined and in reliance on Regulation S under the U.S. Securities Act and the applicable laws of the jurisdictions where those offers and sales are made. </w:t>
      </w:r>
    </w:p>
    <w:p w14:paraId="6EF7EBE3" w14:textId="77777777" w:rsidR="00AF4C6F" w:rsidRDefault="00BE216B">
      <w:pPr>
        <w:jc w:val="both"/>
        <w:rPr>
          <w:rFonts w:ascii="Times New Roman" w:eastAsia="Times New Roman" w:hAnsi="Times New Roman" w:cs="Times New Roman"/>
          <w:color w:val="000000"/>
          <w:kern w:val="0"/>
          <w:lang w:val="en-IN" w:eastAsia="en-IN"/>
          <w14:ligatures w14:val="none"/>
        </w:rPr>
      </w:pPr>
      <w:r>
        <w:rPr>
          <w:rFonts w:ascii="Times New Roman" w:hAnsi="Times New Roman" w:cs="Times New Roman"/>
          <w:sz w:val="20"/>
          <w:szCs w:val="20"/>
        </w:rPr>
        <w:t>Nuvama Wealth Management Limited, DAM Capital Advisors Limited and Anand Rathi Advisors Limited (collectively, the “</w:t>
      </w:r>
      <w:r>
        <w:rPr>
          <w:rFonts w:ascii="Times New Roman" w:hAnsi="Times New Roman" w:cs="Times New Roman"/>
          <w:b/>
          <w:bCs/>
          <w:sz w:val="20"/>
          <w:szCs w:val="20"/>
        </w:rPr>
        <w:t>Book Running Lead Managers</w:t>
      </w:r>
      <w:r>
        <w:rPr>
          <w:rFonts w:ascii="Times New Roman" w:hAnsi="Times New Roman" w:cs="Times New Roman"/>
          <w:sz w:val="20"/>
          <w:szCs w:val="20"/>
        </w:rPr>
        <w:t>”), and their respective affiliates, directors, officers, agents, representatives, advisers and employees do not accept any liability whatsoever, direct or indirect, that may arise from the use of the information contained on this website.</w:t>
      </w:r>
      <w:r>
        <w:rPr>
          <w:rFonts w:ascii="Times New Roman" w:eastAsia="Times New Roman" w:hAnsi="Times New Roman" w:cs="Times New Roman"/>
          <w:color w:val="000000"/>
          <w:kern w:val="0"/>
          <w:lang w:val="en-IN" w:eastAsia="en-IN"/>
          <w14:ligatures w14:val="none"/>
        </w:rPr>
        <w:t xml:space="preserve"> </w:t>
      </w:r>
    </w:p>
    <w:p w14:paraId="38216697" w14:textId="77777777" w:rsidR="00AF4C6F" w:rsidRDefault="00BE216B">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information in the Draft Red Herring Prospectus and the IPO AV is as of the date thereof and none of the Company, Promoters, the Book Running Lead Managers or their respective affiliates, directors, officers, agents, representatives, advisers or employees are under any obligation to update or revise the Draft Red Herring Prospectus and the IPO AV to reflect circumstances arising after the date thereof. </w:t>
      </w:r>
    </w:p>
    <w:p w14:paraId="746983E5" w14:textId="77777777" w:rsidR="00AF4C6F" w:rsidRDefault="00BE216B">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Draft Red Herring Prospectus and the IPO AV in electronic </w:t>
      </w:r>
      <w:r>
        <w:rPr>
          <w:rFonts w:ascii="Times New Roman" w:hAnsi="Times New Roman" w:cs="Times New Roman"/>
          <w:sz w:val="20"/>
          <w:szCs w:val="20"/>
          <w:lang w:val="en-IN"/>
        </w:rPr>
        <w:t>format.</w:t>
      </w:r>
    </w:p>
    <w:p w14:paraId="0EF5EE9E" w14:textId="77777777" w:rsidR="00AF4C6F" w:rsidRDefault="00BE216B">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You are accessing this website at your own </w:t>
      </w:r>
      <w:proofErr w:type="gramStart"/>
      <w:r>
        <w:rPr>
          <w:rFonts w:ascii="Times New Roman" w:hAnsi="Times New Roman" w:cs="Times New Roman"/>
          <w:sz w:val="20"/>
          <w:szCs w:val="20"/>
          <w:lang w:val="en-IN"/>
        </w:rPr>
        <w:t>risk</w:t>
      </w:r>
      <w:proofErr w:type="gramEnd"/>
      <w:r>
        <w:rPr>
          <w:rFonts w:ascii="Times New Roman" w:hAnsi="Times New Roman" w:cs="Times New Roman"/>
          <w:sz w:val="20"/>
          <w:szCs w:val="20"/>
          <w:lang w:val="en-IN"/>
        </w:rPr>
        <w:t xml:space="preserve"> and it is your responsibility to take precautions to ensure that it is free from viruses. </w:t>
      </w:r>
    </w:p>
    <w:p w14:paraId="0BCFD1C8" w14:textId="77777777" w:rsidR="00AF4C6F" w:rsidRDefault="00BE216B">
      <w:pPr>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IF YOU ARE NOT PERMITTED TO VIEW THE MATERIALS ON THIS WEBSITE OR ARE IN ANY DOUBT AS TO WHETHER YOU ARE PERMITTED TO VIEW THESE MATERIALS, PLEASE EXIT THIS WEBPAGE.</w:t>
      </w:r>
    </w:p>
    <w:p w14:paraId="3EAFA9D7" w14:textId="77777777" w:rsidR="00AF4C6F" w:rsidRDefault="00BE216B">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i/>
          <w:sz w:val="20"/>
          <w:szCs w:val="20"/>
          <w:highlight w:val="yellow"/>
        </w:rPr>
        <w:t>Note</w:t>
      </w:r>
      <w:r>
        <w:rPr>
          <w:rFonts w:ascii="Times New Roman" w:hAnsi="Times New Roman" w:cs="Times New Roman"/>
          <w:i/>
          <w:sz w:val="20"/>
          <w:szCs w:val="20"/>
          <w:highlight w:val="yellow"/>
        </w:rPr>
        <w:t>: Please include a Continue” button that will take the user to the next page.</w:t>
      </w:r>
      <w:r>
        <w:rPr>
          <w:rFonts w:ascii="Times New Roman" w:hAnsi="Times New Roman" w:cs="Times New Roman"/>
          <w:sz w:val="20"/>
          <w:szCs w:val="20"/>
        </w:rPr>
        <w:t>]</w:t>
      </w:r>
    </w:p>
    <w:p w14:paraId="7413822E" w14:textId="77777777" w:rsidR="00AF4C6F" w:rsidRDefault="00BE216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i/>
          <w:iCs/>
          <w:sz w:val="20"/>
          <w:szCs w:val="20"/>
          <w:lang w:val="en-IN"/>
        </w:rPr>
      </w:pPr>
      <w:r>
        <w:rPr>
          <w:rFonts w:ascii="Times New Roman" w:hAnsi="Times New Roman" w:cs="Times New Roman"/>
          <w:b/>
          <w:bCs/>
          <w:i/>
          <w:iCs/>
          <w:sz w:val="20"/>
          <w:szCs w:val="20"/>
          <w:lang w:val="en-IN"/>
        </w:rPr>
        <w:t xml:space="preserve">SECOND PAGE  </w:t>
      </w:r>
    </w:p>
    <w:p w14:paraId="2B762030" w14:textId="77777777" w:rsidR="00AF4C6F" w:rsidRDefault="00BE216B">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To access this information, you must confirm, by pressing on the button marked “I Confirm”, that at the time of </w:t>
      </w:r>
      <w:r>
        <w:rPr>
          <w:rFonts w:ascii="Times New Roman" w:hAnsi="Times New Roman" w:cs="Times New Roman"/>
          <w:sz w:val="20"/>
          <w:szCs w:val="20"/>
          <w:lang w:val="en-IN"/>
        </w:rPr>
        <w:t xml:space="preserve">access, you </w:t>
      </w:r>
      <w:proofErr w:type="gramStart"/>
      <w:r>
        <w:rPr>
          <w:rFonts w:ascii="Times New Roman" w:hAnsi="Times New Roman" w:cs="Times New Roman"/>
          <w:sz w:val="20"/>
          <w:szCs w:val="20"/>
          <w:lang w:val="en-IN"/>
        </w:rPr>
        <w:t>are located in</w:t>
      </w:r>
      <w:proofErr w:type="gramEnd"/>
      <w:r>
        <w:rPr>
          <w:rFonts w:ascii="Times New Roman" w:hAnsi="Times New Roman" w:cs="Times New Roman"/>
          <w:sz w:val="20"/>
          <w:szCs w:val="20"/>
          <w:lang w:val="en-IN"/>
        </w:rPr>
        <w:t xml:space="preserve"> India. If you cannot make this confirmation, you must press the button marked “I Do Not Confirm”.</w:t>
      </w:r>
    </w:p>
    <w:p w14:paraId="6DBDA67B" w14:textId="77777777" w:rsidR="00AF4C6F" w:rsidRDefault="00BE216B">
      <w:pPr>
        <w:jc w:val="both"/>
        <w:rPr>
          <w:rFonts w:ascii="Times New Roman" w:hAnsi="Times New Roman" w:cs="Times New Roman"/>
          <w:sz w:val="20"/>
          <w:szCs w:val="20"/>
        </w:rPr>
      </w:pPr>
      <w:r>
        <w:rPr>
          <w:rFonts w:ascii="Times New Roman" w:hAnsi="Times New Roman" w:cs="Times New Roman"/>
          <w:sz w:val="20"/>
          <w:szCs w:val="20"/>
          <w:lang w:val="en-IN"/>
        </w:rPr>
        <w:t xml:space="preserve"> </w:t>
      </w:r>
      <w:r>
        <w:rPr>
          <w:rFonts w:ascii="Times New Roman" w:hAnsi="Times New Roman" w:cs="Times New Roman"/>
          <w:sz w:val="20"/>
          <w:szCs w:val="20"/>
        </w:rPr>
        <w:t>[</w:t>
      </w:r>
      <w:r>
        <w:rPr>
          <w:rFonts w:ascii="Times New Roman" w:hAnsi="Times New Roman" w:cs="Times New Roman"/>
          <w:b/>
          <w:i/>
          <w:sz w:val="20"/>
          <w:szCs w:val="20"/>
          <w:highlight w:val="yellow"/>
        </w:rPr>
        <w:t>Note</w:t>
      </w:r>
      <w:r>
        <w:rPr>
          <w:rFonts w:ascii="Times New Roman" w:hAnsi="Times New Roman" w:cs="Times New Roman"/>
          <w:i/>
          <w:sz w:val="20"/>
          <w:szCs w:val="20"/>
          <w:highlight w:val="yellow"/>
        </w:rPr>
        <w:t>: Please include appropriate buttons for “I Confirm” and “I Do Not Confirm”.</w:t>
      </w:r>
      <w:r>
        <w:rPr>
          <w:rFonts w:ascii="Times New Roman" w:hAnsi="Times New Roman" w:cs="Times New Roman"/>
          <w:sz w:val="20"/>
          <w:szCs w:val="20"/>
        </w:rPr>
        <w:t>]</w:t>
      </w:r>
    </w:p>
    <w:p w14:paraId="1FA89CBE" w14:textId="77777777" w:rsidR="00AF4C6F" w:rsidRDefault="00BE216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20"/>
          <w:szCs w:val="20"/>
          <w:u w:val="single"/>
        </w:rPr>
      </w:pPr>
      <w:r>
        <w:rPr>
          <w:rFonts w:ascii="Times New Roman" w:hAnsi="Times New Roman" w:cs="Times New Roman"/>
          <w:b/>
          <w:iCs/>
          <w:sz w:val="20"/>
          <w:szCs w:val="20"/>
          <w:u w:val="single"/>
        </w:rPr>
        <w:t xml:space="preserve">IF THE USER SELECTS THE “I CONFIRM” BUTTON THEN PROVIDE ACCESS TO THE DRHP AND THE AV IPO IN THE THIRD PAGE </w:t>
      </w:r>
    </w:p>
    <w:p w14:paraId="2291F9C5" w14:textId="77777777" w:rsidR="00AF4C6F" w:rsidRDefault="00BE216B">
      <w:pPr>
        <w:jc w:val="both"/>
        <w:rPr>
          <w:rFonts w:ascii="Times New Roman" w:hAnsi="Times New Roman" w:cs="Times New Roman"/>
          <w:b/>
          <w:bCs/>
          <w:i/>
          <w:iCs/>
          <w:sz w:val="20"/>
          <w:szCs w:val="20"/>
        </w:rPr>
      </w:pPr>
      <w:r>
        <w:rPr>
          <w:rFonts w:ascii="Times New Roman" w:hAnsi="Times New Roman" w:cs="Times New Roman"/>
          <w:b/>
          <w:bCs/>
          <w:i/>
          <w:iCs/>
          <w:sz w:val="20"/>
          <w:szCs w:val="20"/>
        </w:rPr>
        <w:t>ELSE</w:t>
      </w:r>
    </w:p>
    <w:p w14:paraId="5527BEC0" w14:textId="77777777" w:rsidR="00AF4C6F" w:rsidRDefault="00BE216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20"/>
          <w:szCs w:val="20"/>
          <w:u w:val="single"/>
        </w:rPr>
      </w:pPr>
      <w:r>
        <w:rPr>
          <w:rFonts w:ascii="Times New Roman" w:hAnsi="Times New Roman" w:cs="Times New Roman"/>
          <w:b/>
          <w:iCs/>
          <w:sz w:val="20"/>
          <w:szCs w:val="20"/>
          <w:u w:val="single"/>
        </w:rPr>
        <w:t>IF THE USER SELECTS THE “I DO NOT CONFIRM” BUTTON THEN PROVIDE DISPLAY THE FOLLOWING MESSAGE</w:t>
      </w:r>
    </w:p>
    <w:p w14:paraId="70CDB0D3" w14:textId="77777777" w:rsidR="00AF4C6F" w:rsidRDefault="00BE216B">
      <w:pPr>
        <w:jc w:val="both"/>
        <w:rPr>
          <w:rFonts w:ascii="Times New Roman" w:hAnsi="Times New Roman" w:cs="Times New Roman"/>
          <w:sz w:val="20"/>
          <w:szCs w:val="20"/>
        </w:rPr>
      </w:pPr>
      <w:r>
        <w:rPr>
          <w:rFonts w:ascii="Times New Roman" w:hAnsi="Times New Roman" w:cs="Times New Roman"/>
          <w:sz w:val="20"/>
          <w:szCs w:val="20"/>
        </w:rPr>
        <w:t>“You are not permitted to view the materials in this section of the website.”</w:t>
      </w:r>
    </w:p>
    <w:sectPr w:rsidR="00AF4C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E7B29" w14:textId="77777777" w:rsidR="00AF4C6F" w:rsidRDefault="00BE216B">
      <w:pPr>
        <w:spacing w:after="0" w:line="240" w:lineRule="auto"/>
      </w:pPr>
      <w:r>
        <w:separator/>
      </w:r>
    </w:p>
  </w:endnote>
  <w:endnote w:type="continuationSeparator" w:id="0">
    <w:p w14:paraId="0404F611" w14:textId="77777777" w:rsidR="00AF4C6F" w:rsidRDefault="00BE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B1B2" w14:textId="77777777" w:rsidR="00AF4C6F" w:rsidRDefault="00BE216B">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DM3\11094070.1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71708" w14:textId="77777777" w:rsidR="00AF4C6F" w:rsidRDefault="00BE216B">
      <w:pPr>
        <w:spacing w:after="0" w:line="240" w:lineRule="auto"/>
      </w:pPr>
      <w:r>
        <w:separator/>
      </w:r>
    </w:p>
  </w:footnote>
  <w:footnote w:type="continuationSeparator" w:id="0">
    <w:p w14:paraId="7E767152" w14:textId="77777777" w:rsidR="00AF4C6F" w:rsidRDefault="00BE2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ategory1" w:val="99999"/>
    <w:docVar w:name="DocCategory2" w:val="00092"/>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AF4C6F"/>
    <w:rsid w:val="00AF4C6F"/>
    <w:rsid w:val="00BE216B"/>
    <w:rsid w:val="00C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F0C29"/>
  <w15:chartTrackingRefBased/>
  <w15:docId w15:val="{276A10CE-6084-4DD3-9CCE-40551F20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Pr>
      <w:rFonts w:ascii="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0"/>
      <w:u w:val="none"/>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3171">
      <w:bodyDiv w:val="1"/>
      <w:marLeft w:val="0"/>
      <w:marRight w:val="0"/>
      <w:marTop w:val="0"/>
      <w:marBottom w:val="0"/>
      <w:divBdr>
        <w:top w:val="none" w:sz="0" w:space="0" w:color="auto"/>
        <w:left w:val="none" w:sz="0" w:space="0" w:color="auto"/>
        <w:bottom w:val="none" w:sz="0" w:space="0" w:color="auto"/>
        <w:right w:val="none" w:sz="0" w:space="0" w:color="auto"/>
      </w:divBdr>
    </w:div>
    <w:div w:id="294063124">
      <w:bodyDiv w:val="1"/>
      <w:marLeft w:val="0"/>
      <w:marRight w:val="0"/>
      <w:marTop w:val="0"/>
      <w:marBottom w:val="0"/>
      <w:divBdr>
        <w:top w:val="none" w:sz="0" w:space="0" w:color="auto"/>
        <w:left w:val="none" w:sz="0" w:space="0" w:color="auto"/>
        <w:bottom w:val="none" w:sz="0" w:space="0" w:color="auto"/>
        <w:right w:val="none" w:sz="0" w:space="0" w:color="auto"/>
      </w:divBdr>
    </w:div>
    <w:div w:id="431584259">
      <w:bodyDiv w:val="1"/>
      <w:marLeft w:val="0"/>
      <w:marRight w:val="0"/>
      <w:marTop w:val="0"/>
      <w:marBottom w:val="0"/>
      <w:divBdr>
        <w:top w:val="none" w:sz="0" w:space="0" w:color="auto"/>
        <w:left w:val="none" w:sz="0" w:space="0" w:color="auto"/>
        <w:bottom w:val="none" w:sz="0" w:space="0" w:color="auto"/>
        <w:right w:val="none" w:sz="0" w:space="0" w:color="auto"/>
      </w:divBdr>
    </w:div>
    <w:div w:id="706681739">
      <w:bodyDiv w:val="1"/>
      <w:marLeft w:val="0"/>
      <w:marRight w:val="0"/>
      <w:marTop w:val="0"/>
      <w:marBottom w:val="0"/>
      <w:divBdr>
        <w:top w:val="none" w:sz="0" w:space="0" w:color="auto"/>
        <w:left w:val="none" w:sz="0" w:space="0" w:color="auto"/>
        <w:bottom w:val="none" w:sz="0" w:space="0" w:color="auto"/>
        <w:right w:val="none" w:sz="0" w:space="0" w:color="auto"/>
      </w:divBdr>
    </w:div>
    <w:div w:id="920722768">
      <w:bodyDiv w:val="1"/>
      <w:marLeft w:val="0"/>
      <w:marRight w:val="0"/>
      <w:marTop w:val="0"/>
      <w:marBottom w:val="0"/>
      <w:divBdr>
        <w:top w:val="none" w:sz="0" w:space="0" w:color="auto"/>
        <w:left w:val="none" w:sz="0" w:space="0" w:color="auto"/>
        <w:bottom w:val="none" w:sz="0" w:space="0" w:color="auto"/>
        <w:right w:val="none" w:sz="0" w:space="0" w:color="auto"/>
      </w:divBdr>
    </w:div>
    <w:div w:id="1185631745">
      <w:bodyDiv w:val="1"/>
      <w:marLeft w:val="0"/>
      <w:marRight w:val="0"/>
      <w:marTop w:val="0"/>
      <w:marBottom w:val="0"/>
      <w:divBdr>
        <w:top w:val="none" w:sz="0" w:space="0" w:color="auto"/>
        <w:left w:val="none" w:sz="0" w:space="0" w:color="auto"/>
        <w:bottom w:val="none" w:sz="0" w:space="0" w:color="auto"/>
        <w:right w:val="none" w:sz="0" w:space="0" w:color="auto"/>
      </w:divBdr>
    </w:div>
    <w:div w:id="1242369532">
      <w:bodyDiv w:val="1"/>
      <w:marLeft w:val="0"/>
      <w:marRight w:val="0"/>
      <w:marTop w:val="0"/>
      <w:marBottom w:val="0"/>
      <w:divBdr>
        <w:top w:val="none" w:sz="0" w:space="0" w:color="auto"/>
        <w:left w:val="none" w:sz="0" w:space="0" w:color="auto"/>
        <w:bottom w:val="none" w:sz="0" w:space="0" w:color="auto"/>
        <w:right w:val="none" w:sz="0" w:space="0" w:color="auto"/>
      </w:divBdr>
    </w:div>
    <w:div w:id="1513108708">
      <w:bodyDiv w:val="1"/>
      <w:marLeft w:val="0"/>
      <w:marRight w:val="0"/>
      <w:marTop w:val="0"/>
      <w:marBottom w:val="0"/>
      <w:divBdr>
        <w:top w:val="none" w:sz="0" w:space="0" w:color="auto"/>
        <w:left w:val="none" w:sz="0" w:space="0" w:color="auto"/>
        <w:bottom w:val="none" w:sz="0" w:space="0" w:color="auto"/>
        <w:right w:val="none" w:sz="0" w:space="0" w:color="auto"/>
      </w:divBdr>
    </w:div>
    <w:div w:id="1933977421">
      <w:bodyDiv w:val="1"/>
      <w:marLeft w:val="0"/>
      <w:marRight w:val="0"/>
      <w:marTop w:val="0"/>
      <w:marBottom w:val="0"/>
      <w:divBdr>
        <w:top w:val="none" w:sz="0" w:space="0" w:color="auto"/>
        <w:left w:val="none" w:sz="0" w:space="0" w:color="auto"/>
        <w:bottom w:val="none" w:sz="0" w:space="0" w:color="auto"/>
        <w:right w:val="none" w:sz="0" w:space="0" w:color="auto"/>
      </w:divBdr>
    </w:div>
    <w:div w:id="20468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Saraf and Partners</dc:creator>
  <cp:keywords/>
  <dc:description/>
  <cp:lastModifiedBy>PARI VAYA - Nuvama Investment Banking</cp:lastModifiedBy>
  <cp:revision>2</cp:revision>
  <dcterms:created xsi:type="dcterms:W3CDTF">2024-12-19T13:34:00Z</dcterms:created>
  <dcterms:modified xsi:type="dcterms:W3CDTF">2024-12-19T13:34:00Z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DM3\11094070.1</vt:lpwstr>
  </property>
  <property fmtid="{D5CDD505-2E9C-101B-9397-08002B2CF9AE}" pid="3" name="MSIP_Label_8f1f5d45-1543-4370-beb6-04289cc5d012_Enabled">
    <vt:lpwstr>true</vt:lpwstr>
  </property>
  <property fmtid="{D5CDD505-2E9C-101B-9397-08002B2CF9AE}" pid="4" name="MSIP_Label_8f1f5d45-1543-4370-beb6-04289cc5d012_SetDate">
    <vt:lpwstr>2024-12-19T13:34:32Z</vt:lpwstr>
  </property>
  <property fmtid="{D5CDD505-2E9C-101B-9397-08002B2CF9AE}" pid="5" name="MSIP_Label_8f1f5d45-1543-4370-beb6-04289cc5d012_Method">
    <vt:lpwstr>Standard</vt:lpwstr>
  </property>
  <property fmtid="{D5CDD505-2E9C-101B-9397-08002B2CF9AE}" pid="6" name="MSIP_Label_8f1f5d45-1543-4370-beb6-04289cc5d012_Name">
    <vt:lpwstr>Internal</vt:lpwstr>
  </property>
  <property fmtid="{D5CDD505-2E9C-101B-9397-08002B2CF9AE}" pid="7" name="MSIP_Label_8f1f5d45-1543-4370-beb6-04289cc5d012_SiteId">
    <vt:lpwstr>9201f936-0a1d-49af-82ee-4ee4345c1ad7</vt:lpwstr>
  </property>
  <property fmtid="{D5CDD505-2E9C-101B-9397-08002B2CF9AE}" pid="8" name="MSIP_Label_8f1f5d45-1543-4370-beb6-04289cc5d012_ActionId">
    <vt:lpwstr>c77d653d-a73e-44f5-aad9-728071a56dd8</vt:lpwstr>
  </property>
  <property fmtid="{D5CDD505-2E9C-101B-9397-08002B2CF9AE}" pid="9" name="MSIP_Label_8f1f5d45-1543-4370-beb6-04289cc5d012_ContentBits">
    <vt:lpwstr>0</vt:lpwstr>
  </property>
</Properties>
</file>